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1A" w:rsidRPr="00177534" w:rsidRDefault="008B761A" w:rsidP="008B761A">
      <w:pPr>
        <w:rPr>
          <w:u w:val="single"/>
        </w:rPr>
      </w:pPr>
      <w:r w:rsidRPr="004E7075">
        <w:rPr>
          <w:u w:val="single"/>
        </w:rPr>
        <w:t xml:space="preserve">39) </w:t>
      </w:r>
      <w:r>
        <w:rPr>
          <w:u w:val="single"/>
        </w:rPr>
        <w:t>Определение линейного пространства. Примеры линейных пространств.</w:t>
      </w:r>
    </w:p>
    <w:p w:rsidR="008B761A" w:rsidRPr="00177534" w:rsidRDefault="008B761A" w:rsidP="008B761A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b/>
          <w:bCs/>
          <w:lang w:eastAsia="ru-RU"/>
        </w:rPr>
        <w:t>Линейное</w:t>
      </w:r>
      <w:r w:rsidRPr="00177534">
        <w:rPr>
          <w:rFonts w:eastAsia="Times New Roman"/>
          <w:lang w:eastAsia="ru-RU"/>
        </w:rPr>
        <w:t xml:space="preserve">, или </w:t>
      </w:r>
      <w:r w:rsidRPr="00177534">
        <w:rPr>
          <w:rFonts w:eastAsia="Times New Roman"/>
          <w:b/>
          <w:bCs/>
          <w:lang w:eastAsia="ru-RU"/>
        </w:rPr>
        <w:t>векторное</w:t>
      </w:r>
      <w:r w:rsidRPr="00177534">
        <w:rPr>
          <w:rFonts w:eastAsia="Times New Roman"/>
          <w:lang w:eastAsia="ru-RU"/>
        </w:rPr>
        <w:t xml:space="preserve"> </w:t>
      </w:r>
      <w:r w:rsidRPr="00177534">
        <w:rPr>
          <w:rFonts w:eastAsia="Times New Roman"/>
          <w:b/>
          <w:bCs/>
          <w:lang w:eastAsia="ru-RU"/>
        </w:rPr>
        <w:t>пространство</w:t>
      </w:r>
      <w:r w:rsidRPr="00177534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78155" cy="223520"/>
            <wp:effectExtent l="19050" t="0" r="0" b="0"/>
            <wp:docPr id="1" name="Рисунок 1" descr="L \left( P \right)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 \left( P \right) 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над </w:t>
      </w:r>
      <w:hyperlink r:id="rId6" w:tooltip="Поле (алгебра)" w:history="1">
        <w:r w:rsidRPr="00177534">
          <w:rPr>
            <w:rFonts w:eastAsia="Times New Roman"/>
            <w:color w:val="0000FF"/>
            <w:u w:val="single"/>
            <w:lang w:eastAsia="ru-RU"/>
          </w:rPr>
          <w:t>полем</w:t>
        </w:r>
      </w:hyperlink>
      <w:r w:rsidRPr="00177534">
        <w:rPr>
          <w:rFonts w:eastAsia="Times New Roman"/>
          <w:lang w:eastAsia="ru-RU"/>
        </w:rPr>
        <w:t xml:space="preserve"> </w:t>
      </w:r>
      <w:r w:rsidRPr="00177534">
        <w:rPr>
          <w:rFonts w:eastAsia="Times New Roman"/>
          <w:i/>
          <w:iCs/>
          <w:lang w:eastAsia="ru-RU"/>
        </w:rPr>
        <w:t>P</w:t>
      </w:r>
      <w:r w:rsidRPr="00177534">
        <w:rPr>
          <w:rFonts w:eastAsia="Times New Roman"/>
          <w:lang w:eastAsia="ru-RU"/>
        </w:rPr>
        <w:t xml:space="preserve"> — это </w:t>
      </w:r>
      <w:hyperlink r:id="rId7" w:tooltip="Непустое множество" w:history="1">
        <w:r w:rsidRPr="00177534">
          <w:rPr>
            <w:rFonts w:eastAsia="Times New Roman"/>
            <w:color w:val="0000FF"/>
            <w:u w:val="single"/>
            <w:lang w:eastAsia="ru-RU"/>
          </w:rPr>
          <w:t>непустое множество</w:t>
        </w:r>
      </w:hyperlink>
      <w:r w:rsidRPr="00177534">
        <w:rPr>
          <w:rFonts w:eastAsia="Times New Roman"/>
          <w:lang w:eastAsia="ru-RU"/>
        </w:rPr>
        <w:t xml:space="preserve"> </w:t>
      </w:r>
      <w:r w:rsidRPr="00177534">
        <w:rPr>
          <w:rFonts w:eastAsia="Times New Roman"/>
          <w:i/>
          <w:iCs/>
          <w:lang w:eastAsia="ru-RU"/>
        </w:rPr>
        <w:t>L</w:t>
      </w:r>
      <w:r w:rsidRPr="00177534">
        <w:rPr>
          <w:rFonts w:eastAsia="Times New Roman"/>
          <w:lang w:eastAsia="ru-RU"/>
        </w:rPr>
        <w:t xml:space="preserve">, на котором введены </w:t>
      </w:r>
      <w:hyperlink r:id="rId8" w:tooltip="Операция (математика)" w:history="1">
        <w:r w:rsidRPr="00177534">
          <w:rPr>
            <w:rFonts w:eastAsia="Times New Roman"/>
            <w:color w:val="0000FF"/>
            <w:u w:val="single"/>
            <w:lang w:eastAsia="ru-RU"/>
          </w:rPr>
          <w:t>операции</w:t>
        </w:r>
      </w:hyperlink>
    </w:p>
    <w:p w:rsidR="008B761A" w:rsidRPr="00177534" w:rsidRDefault="008B761A" w:rsidP="008B76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сложения, то есть каждой паре элементов множества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33425" cy="212725"/>
            <wp:effectExtent l="19050" t="0" r="9525" b="0"/>
            <wp:docPr id="2" name="Рисунок 2" descr="\mathbf{x}, \mathbf{y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mathbf{x}, \mathbf{y} \in 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ставится в соответствие элемент того же множества, обозначаемый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08355" cy="170180"/>
            <wp:effectExtent l="19050" t="0" r="0" b="0"/>
            <wp:docPr id="3" name="Рисунок 3" descr=" \mathbf{x} + \mathbf{y} 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\mathbf{x} + \mathbf{y}  \in 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и</w:t>
      </w:r>
    </w:p>
    <w:p w:rsidR="008B761A" w:rsidRPr="00177534" w:rsidRDefault="008B761A" w:rsidP="008B76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умножения на </w:t>
      </w:r>
      <w:hyperlink r:id="rId11" w:tooltip="Скаляр" w:history="1">
        <w:r w:rsidRPr="00177534">
          <w:rPr>
            <w:rFonts w:eastAsia="Times New Roman"/>
            <w:color w:val="0000FF"/>
            <w:u w:val="single"/>
            <w:lang w:eastAsia="ru-RU"/>
          </w:rPr>
          <w:t>скаляр</w:t>
        </w:r>
      </w:hyperlink>
      <w:r w:rsidRPr="00177534">
        <w:rPr>
          <w:rFonts w:eastAsia="Times New Roman"/>
          <w:lang w:eastAsia="ru-RU"/>
        </w:rPr>
        <w:t xml:space="preserve"> (то есть элемент поля </w:t>
      </w:r>
      <w:r w:rsidRPr="00177534">
        <w:rPr>
          <w:rFonts w:eastAsia="Times New Roman"/>
          <w:i/>
          <w:iCs/>
          <w:lang w:eastAsia="ru-RU"/>
        </w:rPr>
        <w:t>P</w:t>
      </w:r>
      <w:r w:rsidRPr="00177534">
        <w:rPr>
          <w:rFonts w:eastAsia="Times New Roman"/>
          <w:lang w:eastAsia="ru-RU"/>
        </w:rPr>
        <w:t xml:space="preserve">), то есть любому элементу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20700" cy="170180"/>
            <wp:effectExtent l="19050" t="0" r="0" b="0"/>
            <wp:docPr id="4" name="Рисунок 4" descr="\lambda \in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lambda \in 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и любому элементу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5" name="Рисунок 5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ставится в соответствие элемент </w:t>
      </w:r>
      <w:proofErr w:type="gramStart"/>
      <w:r w:rsidRPr="00177534">
        <w:rPr>
          <w:rFonts w:eastAsia="Times New Roman"/>
          <w:lang w:eastAsia="ru-RU"/>
        </w:rPr>
        <w:t>из</w:t>
      </w:r>
      <w:proofErr w:type="gramEnd"/>
      <w:r w:rsidRPr="00177534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78155" cy="223520"/>
            <wp:effectExtent l="19050" t="0" r="0" b="0"/>
            <wp:docPr id="6" name="Рисунок 6" descr="L \left( P \right)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 \left( P \right) 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обозначаемый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0900" cy="201930"/>
            <wp:effectExtent l="19050" t="0" r="6350" b="0"/>
            <wp:docPr id="7" name="Рисунок 7" descr="  \lambda\mathbf{x}\in L(P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 \lambda\mathbf{x}\in L(P)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.</w:t>
      </w:r>
    </w:p>
    <w:p w:rsidR="008B761A" w:rsidRPr="00177534" w:rsidRDefault="008B761A" w:rsidP="008B761A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При этом удовлетворяются следующие условия:</w:t>
      </w:r>
    </w:p>
    <w:p w:rsidR="008B761A" w:rsidRPr="00177534" w:rsidRDefault="008B761A" w:rsidP="008B76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12215" cy="191135"/>
            <wp:effectExtent l="19050" t="0" r="6985" b="0"/>
            <wp:docPr id="8" name="Рисунок 8" descr="\mathbf{x} + \mathbf{y} = \mathbf{y} + 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mathbf{x} + \mathbf{y} = \mathbf{y} + \mathbf{x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для любых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33425" cy="212725"/>
            <wp:effectExtent l="19050" t="0" r="9525" b="0"/>
            <wp:docPr id="9" name="Рисунок 9" descr="\mathbf{x}, \mathbf{y}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mathbf{x}, \mathbf{y}\in 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коммутативность сложения</w:t>
      </w:r>
      <w:r w:rsidRPr="00177534">
        <w:rPr>
          <w:rFonts w:eastAsia="Times New Roman"/>
          <w:lang w:eastAsia="ru-RU"/>
        </w:rPr>
        <w:t>);</w:t>
      </w:r>
    </w:p>
    <w:p w:rsidR="008B761A" w:rsidRPr="00177534" w:rsidRDefault="008B761A" w:rsidP="008B76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26615" cy="223520"/>
            <wp:effectExtent l="19050" t="0" r="6985" b="0"/>
            <wp:docPr id="10" name="Рисунок 10" descr="\mathbf{x} + (\mathbf{y} + \mathbf{z}) = (\mathbf{x} + \mathbf{y}) + \mathbf{z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mathbf{x} + (\mathbf{y} + \mathbf{z}) = (\mathbf{x} + \mathbf{y}) + \mathbf{z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для любых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25195" cy="212725"/>
            <wp:effectExtent l="19050" t="0" r="8255" b="0"/>
            <wp:docPr id="11" name="Рисунок 11" descr="\mathbf{x}, \mathbf{y}, \mathbf{z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mathbf{x}, \mathbf{y}, \mathbf{z} \in 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ассоциативность сложения</w:t>
      </w:r>
      <w:r w:rsidRPr="00177534">
        <w:rPr>
          <w:rFonts w:eastAsia="Times New Roman"/>
          <w:lang w:eastAsia="ru-RU"/>
        </w:rPr>
        <w:t>);</w:t>
      </w:r>
    </w:p>
    <w:p w:rsidR="008B761A" w:rsidRPr="00177534" w:rsidRDefault="008B761A" w:rsidP="008B76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существует такой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9745" cy="170180"/>
            <wp:effectExtent l="19050" t="0" r="0" b="0"/>
            <wp:docPr id="12" name="Рисунок 12" descr="\theta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theta \in 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29310" cy="170180"/>
            <wp:effectExtent l="19050" t="0" r="8890" b="0"/>
            <wp:docPr id="13" name="Рисунок 13" descr="\mathbf{x} + \theta = 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mathbf{x} + \theta = \mathbf{x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14" name="Рисунок 14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существование нейтрального элемента относительно сложения</w:t>
      </w:r>
      <w:r w:rsidRPr="00177534">
        <w:rPr>
          <w:rFonts w:eastAsia="Times New Roman"/>
          <w:lang w:eastAsia="ru-RU"/>
        </w:rPr>
        <w:t xml:space="preserve">), в частности </w:t>
      </w:r>
      <w:r w:rsidRPr="00177534">
        <w:rPr>
          <w:rFonts w:eastAsia="Times New Roman"/>
          <w:i/>
          <w:iCs/>
          <w:lang w:eastAsia="ru-RU"/>
        </w:rPr>
        <w:t>L</w:t>
      </w:r>
      <w:r w:rsidRPr="00177534">
        <w:rPr>
          <w:rFonts w:eastAsia="Times New Roman"/>
          <w:lang w:eastAsia="ru-RU"/>
        </w:rPr>
        <w:t xml:space="preserve"> не пусто;</w:t>
      </w:r>
    </w:p>
    <w:p w:rsidR="008B761A" w:rsidRPr="00177534" w:rsidRDefault="008B761A" w:rsidP="008B76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15" name="Рисунок 15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существует такой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90880" cy="170180"/>
            <wp:effectExtent l="19050" t="0" r="0" b="0"/>
            <wp:docPr id="16" name="Рисунок 16" descr="-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-\mathbf{x} \in L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8080" cy="223520"/>
            <wp:effectExtent l="19050" t="0" r="0" b="0"/>
            <wp:docPr id="17" name="Рисунок 17" descr="\mathbf{x} + (-\mathbf{x}) = \th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mathbf{x} + (-\mathbf{x}) = \thet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существование противоположного элемента</w:t>
      </w:r>
      <w:r w:rsidRPr="00177534">
        <w:rPr>
          <w:rFonts w:eastAsia="Times New Roman"/>
          <w:lang w:eastAsia="ru-RU"/>
        </w:rPr>
        <w:t>).</w:t>
      </w:r>
    </w:p>
    <w:p w:rsidR="008B761A" w:rsidRPr="00177534" w:rsidRDefault="008B761A" w:rsidP="008B76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65555" cy="223520"/>
            <wp:effectExtent l="19050" t="0" r="0" b="0"/>
            <wp:docPr id="18" name="Рисунок 18" descr="\alpha(\beta\mathbf{x}) = (\alpha\beta)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alpha(\beta\mathbf{x}) = (\alpha\beta)\mathbf{x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ассоциативность умножения на скаляр</w:t>
      </w:r>
      <w:r w:rsidRPr="00177534">
        <w:rPr>
          <w:rFonts w:eastAsia="Times New Roman"/>
          <w:lang w:eastAsia="ru-RU"/>
        </w:rPr>
        <w:t>);</w:t>
      </w:r>
    </w:p>
    <w:p w:rsidR="008B761A" w:rsidRPr="00177534" w:rsidRDefault="008B761A" w:rsidP="008B76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33425" cy="159385"/>
            <wp:effectExtent l="19050" t="0" r="9525" b="0"/>
            <wp:docPr id="19" name="Рисунок 19" descr="1\cdot\mathbf{x} = 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\cdot\mathbf{x} = \mathbf{x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умножение на нейтральный (по умножению) элемент поля P сохраняет вектор</w:t>
      </w:r>
      <w:r w:rsidRPr="00177534">
        <w:rPr>
          <w:rFonts w:eastAsia="Times New Roman"/>
          <w:lang w:eastAsia="ru-RU"/>
        </w:rPr>
        <w:t>).</w:t>
      </w:r>
    </w:p>
    <w:p w:rsidR="008B761A" w:rsidRPr="00177534" w:rsidRDefault="008B761A" w:rsidP="008B76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58620" cy="201930"/>
            <wp:effectExtent l="19050" t="0" r="0" b="0"/>
            <wp:docPr id="20" name="Рисунок 20" descr="(\alpha + \beta)\mathbf{x} = \alpha \mathbf{x} + \beta 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(\alpha + \beta)\mathbf{x} = \alpha \mathbf{x} + \beta \mathbf{x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дистрибутивность умножения на вектор относительно сложения скаляров</w:t>
      </w:r>
      <w:r w:rsidRPr="00177534">
        <w:rPr>
          <w:rFonts w:eastAsia="Times New Roman"/>
          <w:lang w:eastAsia="ru-RU"/>
        </w:rPr>
        <w:t>);</w:t>
      </w:r>
    </w:p>
    <w:p w:rsidR="008B761A" w:rsidRPr="00177534" w:rsidRDefault="008B761A" w:rsidP="008B76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69415" cy="201930"/>
            <wp:effectExtent l="19050" t="0" r="6985" b="0"/>
            <wp:docPr id="21" name="Рисунок 21" descr="\alpha(\mathbf{x} + \mathbf{y}) = \alpha \mathbf{x} + \alpha \mathbf{y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alpha(\mathbf{x} + \mathbf{y}) = \alpha \mathbf{x} + \alpha \mathbf{y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дистрибутивность умножения на скаляр относительно сложения векторов</w:t>
      </w:r>
      <w:r w:rsidRPr="00177534">
        <w:rPr>
          <w:rFonts w:eastAsia="Times New Roman"/>
          <w:lang w:eastAsia="ru-RU"/>
        </w:rPr>
        <w:t>).</w:t>
      </w:r>
    </w:p>
    <w:p w:rsidR="008B761A" w:rsidRPr="00177534" w:rsidRDefault="008B761A" w:rsidP="008B761A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Элементы множества </w:t>
      </w:r>
      <w:r w:rsidRPr="00177534">
        <w:rPr>
          <w:rFonts w:eastAsia="Times New Roman"/>
          <w:i/>
          <w:iCs/>
          <w:lang w:eastAsia="ru-RU"/>
        </w:rPr>
        <w:t>L</w:t>
      </w:r>
      <w:r w:rsidRPr="00177534">
        <w:rPr>
          <w:rFonts w:eastAsia="Times New Roman"/>
          <w:lang w:eastAsia="ru-RU"/>
        </w:rPr>
        <w:t xml:space="preserve"> называют </w:t>
      </w:r>
      <w:r w:rsidRPr="00177534">
        <w:rPr>
          <w:rFonts w:eastAsia="Times New Roman"/>
          <w:b/>
          <w:bCs/>
          <w:lang w:eastAsia="ru-RU"/>
        </w:rPr>
        <w:t>векторами</w:t>
      </w:r>
      <w:r w:rsidRPr="00177534">
        <w:rPr>
          <w:rFonts w:eastAsia="Times New Roman"/>
          <w:lang w:eastAsia="ru-RU"/>
        </w:rPr>
        <w:t xml:space="preserve">, а элементы поля </w:t>
      </w:r>
      <w:r w:rsidRPr="00177534">
        <w:rPr>
          <w:rFonts w:eastAsia="Times New Roman"/>
          <w:i/>
          <w:iCs/>
          <w:lang w:eastAsia="ru-RU"/>
        </w:rPr>
        <w:t>P</w:t>
      </w:r>
      <w:r w:rsidRPr="00177534">
        <w:rPr>
          <w:rFonts w:eastAsia="Times New Roman"/>
          <w:lang w:eastAsia="ru-RU"/>
        </w:rPr>
        <w:t xml:space="preserve"> — </w:t>
      </w:r>
      <w:r w:rsidRPr="00177534">
        <w:rPr>
          <w:rFonts w:eastAsia="Times New Roman"/>
          <w:b/>
          <w:bCs/>
          <w:lang w:eastAsia="ru-RU"/>
        </w:rPr>
        <w:t>скалярами</w:t>
      </w:r>
      <w:r w:rsidRPr="00177534">
        <w:rPr>
          <w:rFonts w:eastAsia="Times New Roman"/>
          <w:lang w:eastAsia="ru-RU"/>
        </w:rPr>
        <w:t>. Свойства 1-4 совпадают с аксиомами абелевой группы.</w:t>
      </w:r>
    </w:p>
    <w:p w:rsidR="008B761A" w:rsidRPr="004C517C" w:rsidRDefault="008B761A" w:rsidP="008B761A">
      <w:r>
        <w:rPr>
          <w:b/>
          <w:bCs/>
        </w:rPr>
        <w:t>Абелева</w:t>
      </w:r>
      <w:r>
        <w:t xml:space="preserve"> или </w:t>
      </w:r>
      <w:r>
        <w:rPr>
          <w:b/>
          <w:bCs/>
        </w:rPr>
        <w:t>коммутативная</w:t>
      </w:r>
      <w:r>
        <w:t xml:space="preserve"> группа есть </w:t>
      </w:r>
      <w:hyperlink r:id="rId26" w:tooltip="Группа (математика)" w:history="1">
        <w:r>
          <w:rPr>
            <w:rStyle w:val="a3"/>
          </w:rPr>
          <w:t>группа</w:t>
        </w:r>
      </w:hyperlink>
      <w:r>
        <w:t xml:space="preserve">, в которой </w:t>
      </w:r>
      <w:hyperlink r:id="rId27" w:tooltip="Бинарная операция" w:history="1">
        <w:r>
          <w:rPr>
            <w:rStyle w:val="a3"/>
          </w:rPr>
          <w:t>групповая операция</w:t>
        </w:r>
      </w:hyperlink>
      <w:r>
        <w:t xml:space="preserve"> является </w:t>
      </w:r>
      <w:hyperlink r:id="rId28" w:tooltip="Коммутативная операция" w:history="1">
        <w:r>
          <w:rPr>
            <w:rStyle w:val="a3"/>
          </w:rPr>
          <w:t>коммутативной</w:t>
        </w:r>
      </w:hyperlink>
      <w:r>
        <w:t xml:space="preserve">; то есть группа </w:t>
      </w:r>
      <w:r>
        <w:rPr>
          <w:rStyle w:val="texhtml"/>
          <w:i/>
          <w:iCs/>
        </w:rPr>
        <w:t>G</w:t>
      </w:r>
      <w:r>
        <w:t xml:space="preserve"> </w:t>
      </w:r>
      <w:proofErr w:type="gramStart"/>
      <w:r>
        <w:t>абелева</w:t>
      </w:r>
      <w:proofErr w:type="gramEnd"/>
      <w:r>
        <w:t xml:space="preserve"> если </w:t>
      </w:r>
      <w:proofErr w:type="spellStart"/>
      <w:r>
        <w:rPr>
          <w:rStyle w:val="texhtml"/>
          <w:i/>
          <w:iCs/>
        </w:rPr>
        <w:t>ab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ba</w:t>
      </w:r>
      <w:proofErr w:type="spellEnd"/>
      <w:r>
        <w:t xml:space="preserve"> для любых двух элементов </w:t>
      </w:r>
      <w:r>
        <w:rPr>
          <w:noProof/>
          <w:lang w:eastAsia="ru-RU"/>
        </w:rPr>
        <w:drawing>
          <wp:inline distT="0" distB="0" distL="0" distR="0">
            <wp:extent cx="690880" cy="170180"/>
            <wp:effectExtent l="19050" t="0" r="0" b="0"/>
            <wp:docPr id="43" name="Рисунок 43" descr="a,\;b\in 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,\;b\in 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8B761A" w:rsidRPr="00177534" w:rsidRDefault="008B761A" w:rsidP="008B76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Векторное пространство является </w:t>
      </w:r>
      <w:hyperlink r:id="rId30" w:tooltip="Абелева группа" w:history="1">
        <w:r w:rsidRPr="00177534">
          <w:rPr>
            <w:rFonts w:eastAsia="Times New Roman"/>
            <w:color w:val="0000FF"/>
            <w:u w:val="single"/>
            <w:lang w:eastAsia="ru-RU"/>
          </w:rPr>
          <w:t>абелевой группой</w:t>
        </w:r>
      </w:hyperlink>
      <w:r w:rsidRPr="00177534">
        <w:rPr>
          <w:rFonts w:eastAsia="Times New Roman"/>
          <w:lang w:eastAsia="ru-RU"/>
        </w:rPr>
        <w:t>.</w:t>
      </w:r>
    </w:p>
    <w:p w:rsidR="008B761A" w:rsidRPr="00177534" w:rsidRDefault="008B761A" w:rsidP="008B76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Нейтральный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9745" cy="170180"/>
            <wp:effectExtent l="19050" t="0" r="0" b="0"/>
            <wp:docPr id="45" name="Рисунок 45" descr="\theta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theta \in 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является единственным, что вытекает из групповых свойств.</w:t>
      </w:r>
    </w:p>
    <w:p w:rsidR="008B761A" w:rsidRPr="00177534" w:rsidRDefault="008B761A" w:rsidP="008B76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33425" cy="159385"/>
            <wp:effectExtent l="19050" t="0" r="9525" b="0"/>
            <wp:docPr id="46" name="Рисунок 46" descr=" 0\cdot\mathbf{x} = \thet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 0\cdot\mathbf{x} = \theta 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47" name="Рисунок 47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.</w:t>
      </w:r>
    </w:p>
    <w:p w:rsidR="008B761A" w:rsidRPr="00177534" w:rsidRDefault="008B761A" w:rsidP="008B76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48" name="Рисунок 48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противоположный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90880" cy="170180"/>
            <wp:effectExtent l="19050" t="0" r="0" b="0"/>
            <wp:docPr id="49" name="Рисунок 49" descr="-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-\mathbf{x} \in L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является единственным, что вытекает из групповых свойств.</w:t>
      </w:r>
    </w:p>
    <w:p w:rsidR="008B761A" w:rsidRPr="00177534" w:rsidRDefault="008B761A" w:rsidP="008B76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052830" cy="223520"/>
            <wp:effectExtent l="19050" t="0" r="0" b="0"/>
            <wp:docPr id="50" name="Рисунок 50" descr="(-1)\mathbf{x} = -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(-1)\mathbf{x} = -\mathbf{x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51" name="Рисунок 51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.</w:t>
      </w:r>
    </w:p>
    <w:p w:rsidR="008B761A" w:rsidRPr="00177534" w:rsidRDefault="008B761A" w:rsidP="008B76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094865" cy="223520"/>
            <wp:effectExtent l="19050" t="0" r="635" b="0"/>
            <wp:docPr id="52" name="Рисунок 52" descr="(-\alpha)\mathbf{x} = \alpha(-\mathbf{x}) = -(\alpha\mathbf{x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(-\alpha)\mathbf{x} = \alpha(-\mathbf{x}) = -(\alpha\mathbf{x})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для любых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9745" cy="138430"/>
            <wp:effectExtent l="19050" t="0" r="0" b="0"/>
            <wp:docPr id="53" name="Рисунок 53" descr="\alpha \in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alpha \in P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54" name="Рисунок 54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.</w:t>
      </w:r>
    </w:p>
    <w:p w:rsidR="008B761A" w:rsidRDefault="008B761A" w:rsidP="008B761A">
      <w:pPr>
        <w:rPr>
          <w:u w:val="single"/>
        </w:rPr>
      </w:pPr>
      <w:r>
        <w:rPr>
          <w:u w:val="single"/>
        </w:rPr>
        <w:lastRenderedPageBreak/>
        <w:t>ПРИМЕРЫ ЛИНЕЙНЫХ ПРОСТРАНСТВ</w:t>
      </w:r>
    </w:p>
    <w:p w:rsidR="008B761A" w:rsidRPr="00177534" w:rsidRDefault="008B761A" w:rsidP="008B761A">
      <w:r>
        <w:t>1)</w:t>
      </w:r>
      <w:r>
        <w:rPr>
          <w:lang w:val="en-US"/>
        </w:rPr>
        <w:t>R</w:t>
      </w:r>
    </w:p>
    <w:p w:rsidR="008B761A" w:rsidRPr="00177534" w:rsidRDefault="008B761A" w:rsidP="008B761A">
      <w:r w:rsidRPr="00177534">
        <w:t>2)</w:t>
      </w:r>
      <w:proofErr w:type="spellStart"/>
      <w:r>
        <w:rPr>
          <w:lang w:val="en-US"/>
        </w:rPr>
        <w:t>R</w:t>
      </w:r>
      <w:r>
        <w:rPr>
          <w:vertAlign w:val="superscript"/>
          <w:lang w:val="en-US"/>
        </w:rPr>
        <w:t>n</w:t>
      </w:r>
      <w:proofErr w:type="spellEnd"/>
      <w:r w:rsidRPr="00177534">
        <w:t>={(</w:t>
      </w:r>
      <w:r>
        <w:rPr>
          <w:lang w:val="en-US"/>
        </w:rPr>
        <w:t>x</w:t>
      </w:r>
      <w:r w:rsidRPr="00177534">
        <w:t>1….</w:t>
      </w:r>
      <w:proofErr w:type="spellStart"/>
      <w:r>
        <w:rPr>
          <w:lang w:val="en-US"/>
        </w:rPr>
        <w:t>xn</w:t>
      </w:r>
      <w:proofErr w:type="spellEnd"/>
      <w:r w:rsidRPr="00177534">
        <w:t>)}</w:t>
      </w:r>
    </w:p>
    <w:p w:rsidR="008B761A" w:rsidRPr="00177534" w:rsidRDefault="008B761A" w:rsidP="008B761A">
      <w:pPr>
        <w:rPr>
          <w:vertAlign w:val="superscript"/>
        </w:rPr>
      </w:pPr>
      <w:r w:rsidRPr="00177534">
        <w:t>3)</w:t>
      </w:r>
      <w:proofErr w:type="spellStart"/>
      <w:r>
        <w:rPr>
          <w:lang w:val="en-US"/>
        </w:rPr>
        <w:t>M</w:t>
      </w:r>
      <w:r>
        <w:rPr>
          <w:vertAlign w:val="superscript"/>
          <w:lang w:val="en-US"/>
        </w:rPr>
        <w:t>mxn</w:t>
      </w:r>
      <w:proofErr w:type="spellEnd"/>
    </w:p>
    <w:p w:rsidR="008B761A" w:rsidRDefault="008B761A" w:rsidP="008B761A">
      <w:r w:rsidRPr="00177534">
        <w:t xml:space="preserve">4) </w:t>
      </w:r>
      <w:r>
        <w:rPr>
          <w:lang w:val="en-US"/>
        </w:rPr>
        <w:t>C</w:t>
      </w:r>
      <w:r w:rsidRPr="00177534">
        <w:t>(</w:t>
      </w:r>
      <w:r>
        <w:rPr>
          <w:lang w:val="en-US"/>
        </w:rPr>
        <w:t>D</w:t>
      </w:r>
      <w:r w:rsidRPr="00177534">
        <w:t xml:space="preserve">) </w:t>
      </w:r>
      <w:r>
        <w:t>–</w:t>
      </w:r>
      <w:r w:rsidRPr="00177534">
        <w:t xml:space="preserve"> </w:t>
      </w:r>
      <w:r>
        <w:t xml:space="preserve">множество непрерывных функций на области </w:t>
      </w:r>
      <w:r>
        <w:rPr>
          <w:lang w:val="en-US"/>
        </w:rPr>
        <w:t>D</w:t>
      </w:r>
    </w:p>
    <w:p w:rsidR="008B761A" w:rsidRDefault="008B761A" w:rsidP="008B761A">
      <w:r>
        <w:t xml:space="preserve">5) </w:t>
      </w:r>
      <w:r>
        <w:rPr>
          <w:lang w:val="en-US"/>
        </w:rPr>
        <w:t>R</w:t>
      </w:r>
      <w:r w:rsidRPr="00177534">
        <w:t>[</w:t>
      </w:r>
      <w:r>
        <w:rPr>
          <w:lang w:val="en-US"/>
        </w:rPr>
        <w:t>x</w:t>
      </w:r>
      <w:r w:rsidRPr="00177534">
        <w:t xml:space="preserve">] – </w:t>
      </w:r>
      <w:r>
        <w:t>множество всех многочленов с действительными коэффициентами от переменной Х.</w:t>
      </w:r>
    </w:p>
    <w:p w:rsidR="008B761A" w:rsidRPr="008B761A" w:rsidRDefault="008B761A" w:rsidP="008B761A">
      <w:r>
        <w:t xml:space="preserve">6) </w:t>
      </w:r>
      <w:proofErr w:type="spellStart"/>
      <w:r>
        <w:rPr>
          <w:lang w:val="en-US"/>
        </w:rPr>
        <w:t>Pn</w:t>
      </w:r>
      <w:proofErr w:type="spellEnd"/>
      <w:r w:rsidRPr="00177534">
        <w:t>={</w:t>
      </w:r>
      <w:r>
        <w:t xml:space="preserve">множество многочленов степенью </w:t>
      </w:r>
      <w:r w:rsidRPr="00177534">
        <w:t>&lt;=</w:t>
      </w:r>
      <w:r>
        <w:rPr>
          <w:lang w:val="en-US"/>
        </w:rPr>
        <w:t>n</w:t>
      </w:r>
      <w:r w:rsidRPr="00177534">
        <w:t>}</w:t>
      </w:r>
    </w:p>
    <w:p w:rsidR="008B761A" w:rsidRPr="00177534" w:rsidRDefault="008B761A" w:rsidP="008B761A">
      <w:pPr>
        <w:rPr>
          <w:vertAlign w:val="superscript"/>
          <w:lang w:val="en-US"/>
        </w:rPr>
      </w:pPr>
      <w:r>
        <w:rPr>
          <w:lang w:val="en-US"/>
        </w:rPr>
        <w:t>7) V</w:t>
      </w:r>
      <w:r>
        <w:rPr>
          <w:vertAlign w:val="superscript"/>
          <w:lang w:val="en-US"/>
        </w:rPr>
        <w:t>1</w:t>
      </w:r>
      <w:proofErr w:type="gramStart"/>
      <w:r>
        <w:rPr>
          <w:lang w:val="en-US"/>
        </w:rPr>
        <w:t>,V</w:t>
      </w:r>
      <w:r>
        <w:rPr>
          <w:vertAlign w:val="superscript"/>
          <w:lang w:val="en-US"/>
        </w:rPr>
        <w:t>2</w:t>
      </w:r>
      <w:r>
        <w:rPr>
          <w:lang w:val="en-US"/>
        </w:rPr>
        <w:t>,V</w:t>
      </w:r>
      <w:r>
        <w:rPr>
          <w:vertAlign w:val="superscript"/>
          <w:lang w:val="en-US"/>
        </w:rPr>
        <w:t>3</w:t>
      </w:r>
      <w:proofErr w:type="gramEnd"/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C31E2"/>
    <w:multiLevelType w:val="multilevel"/>
    <w:tmpl w:val="E920F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56318A"/>
    <w:multiLevelType w:val="multilevel"/>
    <w:tmpl w:val="6578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F644A7"/>
    <w:multiLevelType w:val="multilevel"/>
    <w:tmpl w:val="F1DE5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B761A"/>
    <w:rsid w:val="008B761A"/>
    <w:rsid w:val="00B346F7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761A"/>
    <w:rPr>
      <w:color w:val="0000FF"/>
      <w:u w:val="single"/>
    </w:rPr>
  </w:style>
  <w:style w:type="character" w:customStyle="1" w:styleId="texhtml">
    <w:name w:val="texhtml"/>
    <w:basedOn w:val="a0"/>
    <w:rsid w:val="008B761A"/>
  </w:style>
  <w:style w:type="paragraph" w:styleId="a4">
    <w:name w:val="Balloon Text"/>
    <w:basedOn w:val="a"/>
    <w:link w:val="a5"/>
    <w:uiPriority w:val="99"/>
    <w:semiHidden/>
    <w:unhideWhenUsed/>
    <w:rsid w:val="008B7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6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E%D0%BF%D0%B5%D1%80%D0%B0%D1%86%D0%B8%D1%8F_%28%D0%BC%D0%B0%D1%82%D0%B5%D0%BC%D0%B0%D1%82%D0%B8%D0%BA%D0%B0%29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://ru.wikipedia.org/wiki/%D0%93%D1%80%D1%83%D0%BF%D0%BF%D0%B0_%28%D0%BC%D0%B0%D1%82%D0%B5%D0%BC%D0%B0%D1%82%D0%B8%D0%BA%D0%B0%29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2.png"/><Relationship Id="rId7" Type="http://schemas.openxmlformats.org/officeDocument/2006/relationships/hyperlink" Target="http://ru.wikipedia.org/wiki/%D0%9D%D0%B5%D0%BF%D1%83%D1%81%D1%82%D0%BE%D0%B5_%D0%BC%D0%BD%D0%BE%D0%B6%D0%B5%D1%81%D1%82%D0%B2%D0%BE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0%BE%D0%BB%D0%B5_%28%D0%B0%D0%BB%D0%B3%D0%B5%D0%B1%D1%80%D0%B0%29" TargetMode="External"/><Relationship Id="rId11" Type="http://schemas.openxmlformats.org/officeDocument/2006/relationships/hyperlink" Target="http://ru.wikipedia.org/wiki/%D0%A1%D0%BA%D0%B0%D0%BB%D1%8F%D1%80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yperlink" Target="http://ru.wikipedia.org/wiki/%D0%9A%D0%BE%D0%BC%D0%BC%D1%83%D1%82%D0%B0%D1%82%D0%B8%D0%B2%D0%BD%D0%B0%D1%8F_%D0%BE%D0%BF%D0%B5%D1%80%D0%B0%D1%86%D0%B8%D1%8F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http://ru.wikipedia.org/wiki/%D0%91%D0%B8%D0%BD%D0%B0%D1%80%D0%BD%D0%B0%D1%8F_%D0%BE%D0%BF%D0%B5%D1%80%D0%B0%D1%86%D0%B8%D1%8F" TargetMode="External"/><Relationship Id="rId30" Type="http://schemas.openxmlformats.org/officeDocument/2006/relationships/hyperlink" Target="http://ru.wikipedia.org/wiki/%D0%90%D0%B1%D0%B5%D0%BB%D0%B5%D0%B2%D0%B0_%D0%B3%D1%80%D1%83%D0%BF%D0%BF%D0%B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2010-01-17T16:03:00Z</dcterms:created>
  <dcterms:modified xsi:type="dcterms:W3CDTF">2010-01-17T16:03:00Z</dcterms:modified>
</cp:coreProperties>
</file>